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Turnover Discount (TOD) — Agreement Clause Checklist</w:t>
      </w:r>
    </w:p>
    <w:p>
      <w:r>
        <w:rPr>
          <w:b w:val="0"/>
          <w:i/>
        </w:rPr>
        <w:t>RebateLedger checklist - the clauses a TOD arrangement should state IN WRITING, at or before the start of the period. General information, not tax or legal advice.</w:t>
      </w:r>
    </w:p>
    <w:p>
      <w:r>
        <w:rPr>
          <w:b w:val="0"/>
          <w:i w:val="0"/>
        </w:rPr>
        <w:t>[1] Effective period and eligibility (which purchases count: paid invoices? net of returns?)</w:t>
      </w:r>
    </w:p>
    <w:p>
      <w:r>
        <w:rPr>
          <w:b w:val="0"/>
          <w:i w:val="0"/>
        </w:rPr>
        <w:t>[2] Slabs and rates - exact thresholds, and whether the rate applies to the whole turnover or marginally per slab</w:t>
      </w:r>
    </w:p>
    <w:p>
      <w:r>
        <w:rPr>
          <w:b w:val="0"/>
          <w:i w:val="0"/>
        </w:rPr>
        <w:t>[3] Computation base - gross invoice value / net of GST / net of other discounts (state ONE)</w:t>
      </w:r>
    </w:p>
    <w:p>
      <w:r>
        <w:rPr>
          <w:b w:val="0"/>
          <w:i w:val="0"/>
        </w:rPr>
        <w:t>[4] Exclusions - returned goods, cancelled invoices, non-qualifying SKUs, inter-branch transfers</w:t>
      </w:r>
    </w:p>
    <w:p>
      <w:r>
        <w:rPr>
          <w:b w:val="0"/>
          <w:i w:val="0"/>
        </w:rPr>
        <w:t>[5] Pre-agreement evidence - the TOD agreed in writing at/before the period start (decides the GST credit-note route under s.15(3)(b); a TOD agreed after the fact settles by commercial credit note per Circular 251/08/2025)</w:t>
      </w:r>
    </w:p>
    <w:p>
      <w:r>
        <w:rPr>
          <w:b w:val="0"/>
          <w:i w:val="0"/>
        </w:rPr>
        <w:t>[6] Settlement instrument - GST credit note vs commercial credit note, and who decides</w:t>
      </w:r>
    </w:p>
    <w:p>
      <w:r>
        <w:rPr>
          <w:b w:val="0"/>
          <w:i w:val="0"/>
        </w:rPr>
        <w:t>[7] Settlement timeline - within [30/45] days of period close; interim/quarterly on-account credits if annual</w:t>
      </w:r>
    </w:p>
    <w:p>
      <w:r>
        <w:rPr>
          <w:b w:val="0"/>
          <w:i w:val="0"/>
        </w:rPr>
        <w:t>[8] Documentation - what the distributor must submit (turnover statement, ledger extract) and what the company issues</w:t>
      </w:r>
    </w:p>
    <w:p>
      <w:r>
        <w:rPr>
          <w:b w:val="0"/>
          <w:i w:val="0"/>
        </w:rPr>
        <w:t>[9] Dispute window - how long each side has to query the computation</w:t>
      </w:r>
    </w:p>
    <w:p>
      <w:r>
        <w:rPr>
          <w:b w:val="0"/>
          <w:i w:val="0"/>
        </w:rPr>
        <w:t>[10] TDS position - TOD documented as a discount (no 194H/194R TDS on discounts per Circular 12/2022); avoid cash payouts that could be read as commission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